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49F" w:rsidRPr="003F6288" w:rsidRDefault="00517F7A" w:rsidP="00F35F9B">
      <w:pPr>
        <w:spacing w:after="0"/>
        <w:jc w:val="center"/>
        <w:rPr>
          <w:b/>
          <w:sz w:val="40"/>
          <w:szCs w:val="40"/>
        </w:rPr>
      </w:pPr>
      <w:r w:rsidRPr="003F6288">
        <w:rPr>
          <w:b/>
          <w:sz w:val="40"/>
          <w:szCs w:val="40"/>
        </w:rPr>
        <w:t>INVESTMENT MANAGEMENT ACCOUNT (IMA)</w:t>
      </w:r>
    </w:p>
    <w:p w:rsidR="00517F7A" w:rsidRPr="003F6288" w:rsidRDefault="00517F7A" w:rsidP="00F35F9B">
      <w:pPr>
        <w:spacing w:after="0"/>
        <w:jc w:val="center"/>
        <w:rPr>
          <w:b/>
          <w:sz w:val="36"/>
          <w:szCs w:val="36"/>
        </w:rPr>
      </w:pPr>
      <w:r w:rsidRPr="003F6288">
        <w:rPr>
          <w:b/>
          <w:sz w:val="36"/>
          <w:szCs w:val="36"/>
        </w:rPr>
        <w:t>Documentary Requirements</w:t>
      </w:r>
    </w:p>
    <w:p w:rsidR="00517F7A" w:rsidRPr="003F6288" w:rsidRDefault="00517F7A" w:rsidP="00F35F9B">
      <w:pPr>
        <w:spacing w:after="0"/>
        <w:jc w:val="center"/>
        <w:rPr>
          <w:i/>
          <w:sz w:val="28"/>
          <w:szCs w:val="28"/>
        </w:rPr>
      </w:pPr>
      <w:r w:rsidRPr="003F6288">
        <w:rPr>
          <w:i/>
          <w:sz w:val="28"/>
          <w:szCs w:val="28"/>
        </w:rPr>
        <w:t>Individual Customers</w:t>
      </w:r>
    </w:p>
    <w:p w:rsidR="00517F7A" w:rsidRDefault="00517F7A"/>
    <w:p w:rsidR="00517F7A" w:rsidRDefault="00517F7A"/>
    <w:p w:rsidR="00517F7A" w:rsidRPr="00F35F9B" w:rsidRDefault="00517F7A">
      <w:pPr>
        <w:rPr>
          <w:sz w:val="26"/>
          <w:szCs w:val="26"/>
          <w:u w:val="single"/>
        </w:rPr>
      </w:pPr>
      <w:r w:rsidRPr="00F35F9B">
        <w:rPr>
          <w:sz w:val="26"/>
          <w:szCs w:val="26"/>
          <w:u w:val="single"/>
        </w:rPr>
        <w:t>Risk Profiling</w:t>
      </w:r>
    </w:p>
    <w:p w:rsidR="00517F7A" w:rsidRPr="00F35F9B" w:rsidRDefault="00517F7A" w:rsidP="0057076B">
      <w:pPr>
        <w:pStyle w:val="ListParagraph"/>
        <w:numPr>
          <w:ilvl w:val="0"/>
          <w:numId w:val="5"/>
        </w:numPr>
        <w:ind w:left="426" w:hanging="426"/>
        <w:rPr>
          <w:sz w:val="26"/>
          <w:szCs w:val="26"/>
        </w:rPr>
      </w:pPr>
      <w:r w:rsidRPr="00F35F9B">
        <w:rPr>
          <w:sz w:val="26"/>
          <w:szCs w:val="26"/>
        </w:rPr>
        <w:t>Client Suitability Assessment (CSA)</w:t>
      </w:r>
    </w:p>
    <w:p w:rsidR="00517F7A" w:rsidRPr="00F35F9B" w:rsidRDefault="00517F7A" w:rsidP="0057076B">
      <w:pPr>
        <w:pStyle w:val="ListParagraph"/>
        <w:numPr>
          <w:ilvl w:val="0"/>
          <w:numId w:val="5"/>
        </w:numPr>
        <w:ind w:left="426" w:hanging="426"/>
        <w:rPr>
          <w:sz w:val="26"/>
          <w:szCs w:val="26"/>
        </w:rPr>
      </w:pPr>
      <w:r w:rsidRPr="00F35F9B">
        <w:rPr>
          <w:sz w:val="26"/>
          <w:szCs w:val="26"/>
        </w:rPr>
        <w:t>Reclassification of Risk Profile (If applicable)</w:t>
      </w:r>
    </w:p>
    <w:p w:rsidR="00517F7A" w:rsidRPr="00F35F9B" w:rsidRDefault="00517F7A" w:rsidP="0057076B">
      <w:pPr>
        <w:pStyle w:val="ListParagraph"/>
        <w:numPr>
          <w:ilvl w:val="0"/>
          <w:numId w:val="5"/>
        </w:numPr>
        <w:ind w:left="426" w:hanging="426"/>
        <w:rPr>
          <w:sz w:val="26"/>
          <w:szCs w:val="26"/>
        </w:rPr>
      </w:pPr>
      <w:r w:rsidRPr="00F35F9B">
        <w:rPr>
          <w:sz w:val="26"/>
          <w:szCs w:val="26"/>
        </w:rPr>
        <w:t>Risk Disclosure Statements (RDS)</w:t>
      </w:r>
    </w:p>
    <w:p w:rsidR="00517F7A" w:rsidRPr="00F35F9B" w:rsidRDefault="00517F7A" w:rsidP="00517F7A">
      <w:pPr>
        <w:rPr>
          <w:sz w:val="26"/>
          <w:szCs w:val="26"/>
        </w:rPr>
      </w:pPr>
    </w:p>
    <w:p w:rsidR="00517F7A" w:rsidRPr="00F35F9B" w:rsidRDefault="00517F7A" w:rsidP="00517F7A">
      <w:pPr>
        <w:rPr>
          <w:sz w:val="26"/>
          <w:szCs w:val="26"/>
          <w:u w:val="single"/>
        </w:rPr>
      </w:pPr>
      <w:r w:rsidRPr="00F35F9B">
        <w:rPr>
          <w:sz w:val="26"/>
          <w:szCs w:val="26"/>
          <w:u w:val="single"/>
        </w:rPr>
        <w:t>Know Your Client</w:t>
      </w:r>
    </w:p>
    <w:p w:rsidR="00517F7A" w:rsidRPr="00F35F9B" w:rsidRDefault="00517F7A" w:rsidP="0057076B">
      <w:pPr>
        <w:pStyle w:val="ListParagraph"/>
        <w:numPr>
          <w:ilvl w:val="0"/>
          <w:numId w:val="4"/>
        </w:numPr>
        <w:ind w:left="426" w:hanging="426"/>
        <w:rPr>
          <w:sz w:val="26"/>
          <w:szCs w:val="26"/>
        </w:rPr>
      </w:pPr>
      <w:r w:rsidRPr="00F35F9B">
        <w:rPr>
          <w:sz w:val="26"/>
          <w:szCs w:val="26"/>
        </w:rPr>
        <w:t>Client Information Sheet and Specimen Signature Card (CISSC)*</w:t>
      </w:r>
    </w:p>
    <w:p w:rsidR="00517F7A" w:rsidRPr="00F35F9B" w:rsidRDefault="00517F7A" w:rsidP="0057076B">
      <w:pPr>
        <w:pStyle w:val="ListParagraph"/>
        <w:numPr>
          <w:ilvl w:val="0"/>
          <w:numId w:val="4"/>
        </w:numPr>
        <w:ind w:left="426" w:hanging="426"/>
        <w:rPr>
          <w:sz w:val="26"/>
          <w:szCs w:val="26"/>
        </w:rPr>
      </w:pPr>
      <w:r w:rsidRPr="00F35F9B">
        <w:rPr>
          <w:sz w:val="26"/>
          <w:szCs w:val="26"/>
        </w:rPr>
        <w:t>Specimen Signature Card (SSC)</w:t>
      </w:r>
    </w:p>
    <w:p w:rsidR="00517F7A" w:rsidRPr="00F35F9B" w:rsidRDefault="00517F7A" w:rsidP="0057076B">
      <w:pPr>
        <w:pStyle w:val="ListParagraph"/>
        <w:numPr>
          <w:ilvl w:val="0"/>
          <w:numId w:val="4"/>
        </w:numPr>
        <w:ind w:left="426" w:hanging="426"/>
        <w:rPr>
          <w:sz w:val="26"/>
          <w:szCs w:val="26"/>
        </w:rPr>
      </w:pPr>
      <w:r w:rsidRPr="00F35F9B">
        <w:rPr>
          <w:sz w:val="26"/>
          <w:szCs w:val="26"/>
        </w:rPr>
        <w:t>Photocopy of a government issued identification document</w:t>
      </w:r>
    </w:p>
    <w:p w:rsidR="003F6288" w:rsidRPr="003F6288" w:rsidRDefault="003F6288" w:rsidP="003F6288">
      <w:pPr>
        <w:jc w:val="both"/>
        <w:rPr>
          <w:i/>
          <w:sz w:val="20"/>
          <w:szCs w:val="20"/>
        </w:rPr>
      </w:pPr>
      <w:r w:rsidRPr="003F6288">
        <w:rPr>
          <w:i/>
          <w:sz w:val="20"/>
          <w:szCs w:val="20"/>
        </w:rPr>
        <w:t xml:space="preserve">* Pursuant and in compliance with AMLA Section X806.2.a. </w:t>
      </w:r>
      <w:proofErr w:type="gramStart"/>
      <w:r w:rsidRPr="003F6288">
        <w:rPr>
          <w:i/>
          <w:sz w:val="20"/>
          <w:szCs w:val="20"/>
        </w:rPr>
        <w:t>and</w:t>
      </w:r>
      <w:proofErr w:type="gramEnd"/>
      <w:r w:rsidRPr="003F6288">
        <w:rPr>
          <w:i/>
          <w:sz w:val="20"/>
          <w:szCs w:val="20"/>
        </w:rPr>
        <w:t xml:space="preserve"> PIMA’s policy on Know Your Client (KYC), all information in the Client Information and Specimen Signature Card (CISSC) should be completely filled-out. </w:t>
      </w:r>
    </w:p>
    <w:p w:rsidR="003F6288" w:rsidRDefault="003F6288" w:rsidP="003F6288">
      <w:pPr>
        <w:rPr>
          <w:sz w:val="28"/>
          <w:szCs w:val="28"/>
        </w:rPr>
      </w:pPr>
    </w:p>
    <w:p w:rsidR="003F6288" w:rsidRPr="00F35F9B" w:rsidRDefault="003F6288" w:rsidP="003F6288">
      <w:pPr>
        <w:rPr>
          <w:sz w:val="26"/>
          <w:szCs w:val="26"/>
          <w:u w:val="single"/>
        </w:rPr>
      </w:pPr>
      <w:r w:rsidRPr="00F35F9B">
        <w:rPr>
          <w:sz w:val="26"/>
          <w:szCs w:val="26"/>
          <w:u w:val="single"/>
        </w:rPr>
        <w:t>IMA Documents</w:t>
      </w:r>
    </w:p>
    <w:p w:rsidR="003F6288" w:rsidRPr="00F35F9B" w:rsidRDefault="003F6288" w:rsidP="0057076B">
      <w:pPr>
        <w:pStyle w:val="ListParagraph"/>
        <w:numPr>
          <w:ilvl w:val="0"/>
          <w:numId w:val="3"/>
        </w:numPr>
        <w:ind w:left="426" w:hanging="426"/>
        <w:rPr>
          <w:sz w:val="26"/>
          <w:szCs w:val="26"/>
        </w:rPr>
      </w:pPr>
      <w:bookmarkStart w:id="0" w:name="_GoBack"/>
      <w:r w:rsidRPr="00F35F9B">
        <w:rPr>
          <w:sz w:val="26"/>
          <w:szCs w:val="26"/>
        </w:rPr>
        <w:t>Investment Policy Statements (IPS)</w:t>
      </w:r>
    </w:p>
    <w:p w:rsidR="003F6288" w:rsidRPr="00F35F9B" w:rsidRDefault="003F6288" w:rsidP="0057076B">
      <w:pPr>
        <w:pStyle w:val="ListParagraph"/>
        <w:numPr>
          <w:ilvl w:val="0"/>
          <w:numId w:val="3"/>
        </w:numPr>
        <w:ind w:left="426" w:hanging="426"/>
        <w:rPr>
          <w:sz w:val="26"/>
          <w:szCs w:val="26"/>
        </w:rPr>
      </w:pPr>
      <w:r w:rsidRPr="00F35F9B">
        <w:rPr>
          <w:sz w:val="26"/>
          <w:szCs w:val="26"/>
        </w:rPr>
        <w:t xml:space="preserve">IMA </w:t>
      </w:r>
      <w:bookmarkEnd w:id="0"/>
      <w:r w:rsidRPr="00F35F9B">
        <w:rPr>
          <w:sz w:val="26"/>
          <w:szCs w:val="26"/>
        </w:rPr>
        <w:t>Agreement</w:t>
      </w:r>
    </w:p>
    <w:p w:rsidR="003F6288" w:rsidRDefault="003F6288" w:rsidP="003F6288">
      <w:pPr>
        <w:rPr>
          <w:sz w:val="28"/>
          <w:szCs w:val="28"/>
        </w:rPr>
      </w:pPr>
    </w:p>
    <w:p w:rsidR="003F6288" w:rsidRPr="003F6288" w:rsidRDefault="00B567F8" w:rsidP="003F6288">
      <w:pPr>
        <w:jc w:val="right"/>
        <w:rPr>
          <w:sz w:val="24"/>
          <w:szCs w:val="24"/>
        </w:rPr>
      </w:pPr>
      <w:r>
        <w:rPr>
          <w:noProof/>
          <w:sz w:val="28"/>
          <w:szCs w:val="28"/>
          <w:lang w:eastAsia="en-P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302260</wp:posOffset>
                </wp:positionV>
                <wp:extent cx="7772400" cy="3333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337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7F8" w:rsidRPr="00B567F8" w:rsidRDefault="00B567F8" w:rsidP="00B567F8">
                            <w:pPr>
                              <w:ind w:left="-567" w:right="-846"/>
                              <w:jc w:val="center"/>
                              <w:rPr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567F8">
                              <w:rPr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The account shall only be opened upon submission of complete documentary requirements.</w:t>
                            </w:r>
                          </w:p>
                          <w:p w:rsidR="00B567F8" w:rsidRDefault="00B567F8" w:rsidP="00B567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560.8pt;margin-top:23.8pt;width:612pt;height:26.25pt;z-index:-25165721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" fillcolor="#c00" stroked="f" strokeweight="1pt">
                <v:textbox>
                  <w:txbxContent>
                    <w:p w:rsidR="00B567F8" w:rsidRPr="00B567F8" w:rsidRDefault="00B567F8" w:rsidP="00B567F8">
                      <w:pPr>
                        <w:ind w:left="-567" w:right="-846"/>
                        <w:jc w:val="center"/>
                        <w:rPr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B567F8">
                        <w:rPr>
                          <w:i/>
                          <w:color w:val="FFFFFF" w:themeColor="background1"/>
                          <w:sz w:val="24"/>
                          <w:szCs w:val="24"/>
                        </w:rPr>
                        <w:t>The account shall only be opened upon submission of complete documentary requirements.</w:t>
                      </w:r>
                    </w:p>
                    <w:p w:rsidR="00B567F8" w:rsidRDefault="00B567F8" w:rsidP="00B567F8"/>
                  </w:txbxContent>
                </v:textbox>
                <w10:wrap anchorx="page"/>
              </v:rect>
            </w:pict>
          </mc:Fallback>
        </mc:AlternateContent>
      </w:r>
    </w:p>
    <w:p w:rsidR="00517F7A" w:rsidRDefault="00517F7A" w:rsidP="00517F7A"/>
    <w:p w:rsidR="003F6288" w:rsidRDefault="003F6288" w:rsidP="00517F7A"/>
    <w:p w:rsidR="00B567F8" w:rsidRDefault="00B567F8">
      <w:pPr>
        <w:rPr>
          <w:b/>
          <w:sz w:val="26"/>
          <w:szCs w:val="26"/>
        </w:rPr>
      </w:pPr>
    </w:p>
    <w:p w:rsidR="00517F7A" w:rsidRPr="00F35F9B" w:rsidRDefault="003F6288">
      <w:pPr>
        <w:rPr>
          <w:b/>
          <w:sz w:val="26"/>
          <w:szCs w:val="26"/>
        </w:rPr>
      </w:pPr>
      <w:r w:rsidRPr="00F35F9B">
        <w:rPr>
          <w:b/>
          <w:sz w:val="26"/>
          <w:szCs w:val="26"/>
        </w:rPr>
        <w:t>Contact Us</w:t>
      </w:r>
    </w:p>
    <w:p w:rsidR="003F6288" w:rsidRDefault="003F6288">
      <w:r>
        <w:t>Tel. No.</w:t>
      </w:r>
      <w:r>
        <w:tab/>
      </w:r>
      <w:r>
        <w:tab/>
        <w:t>: +63-927-412-5063</w:t>
      </w:r>
    </w:p>
    <w:sectPr w:rsidR="003F6288" w:rsidSect="003F6288">
      <w:footerReference w:type="default" r:id="rId7"/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7B0" w:rsidRDefault="000837B0" w:rsidP="003F6288">
      <w:pPr>
        <w:spacing w:after="0" w:line="240" w:lineRule="auto"/>
      </w:pPr>
      <w:r>
        <w:separator/>
      </w:r>
    </w:p>
  </w:endnote>
  <w:endnote w:type="continuationSeparator" w:id="0">
    <w:p w:rsidR="000837B0" w:rsidRDefault="000837B0" w:rsidP="003F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288" w:rsidRDefault="003F6288">
    <w:pPr>
      <w:pStyle w:val="Footer"/>
    </w:pPr>
    <w:r>
      <w:rPr>
        <w:noProof/>
        <w:lang w:eastAsia="en-PH"/>
      </w:rPr>
      <w:drawing>
        <wp:inline distT="0" distB="0" distL="0" distR="0">
          <wp:extent cx="1842411" cy="561975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411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7B0" w:rsidRDefault="000837B0" w:rsidP="003F6288">
      <w:pPr>
        <w:spacing w:after="0" w:line="240" w:lineRule="auto"/>
      </w:pPr>
      <w:r>
        <w:separator/>
      </w:r>
    </w:p>
  </w:footnote>
  <w:footnote w:type="continuationSeparator" w:id="0">
    <w:p w:rsidR="000837B0" w:rsidRDefault="000837B0" w:rsidP="003F6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57BB3"/>
    <w:multiLevelType w:val="hybridMultilevel"/>
    <w:tmpl w:val="C6261FC4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43BBB"/>
    <w:multiLevelType w:val="hybridMultilevel"/>
    <w:tmpl w:val="3C3A0CEA"/>
    <w:lvl w:ilvl="0" w:tplc="506211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41B14"/>
    <w:multiLevelType w:val="hybridMultilevel"/>
    <w:tmpl w:val="FDBEF6BA"/>
    <w:lvl w:ilvl="0" w:tplc="506211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44C2C"/>
    <w:multiLevelType w:val="hybridMultilevel"/>
    <w:tmpl w:val="CCBE447C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3018F"/>
    <w:multiLevelType w:val="hybridMultilevel"/>
    <w:tmpl w:val="DB68C8F4"/>
    <w:lvl w:ilvl="0" w:tplc="506211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7A"/>
    <w:rsid w:val="00037BF8"/>
    <w:rsid w:val="00046EFF"/>
    <w:rsid w:val="000837B0"/>
    <w:rsid w:val="001B7E53"/>
    <w:rsid w:val="003F6288"/>
    <w:rsid w:val="00517F7A"/>
    <w:rsid w:val="0057076B"/>
    <w:rsid w:val="008D7FBE"/>
    <w:rsid w:val="009D5E27"/>
    <w:rsid w:val="00A76BD2"/>
    <w:rsid w:val="00B567F8"/>
    <w:rsid w:val="00F34C62"/>
    <w:rsid w:val="00F3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B82A4B-08C6-4A22-9D32-4571A949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F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6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288"/>
  </w:style>
  <w:style w:type="paragraph" w:styleId="Footer">
    <w:name w:val="footer"/>
    <w:basedOn w:val="Normal"/>
    <w:link w:val="FooterChar"/>
    <w:uiPriority w:val="99"/>
    <w:unhideWhenUsed/>
    <w:rsid w:val="003F6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2022-03-27T21:17:00Z</dcterms:created>
  <dcterms:modified xsi:type="dcterms:W3CDTF">2022-03-27T22:46:00Z</dcterms:modified>
  <cp:contentStatus/>
</cp:coreProperties>
</file>